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5993" w14:textId="77777777" w:rsidR="00347206" w:rsidRDefault="00460ABF">
      <w:pPr>
        <w:spacing w:before="2"/>
        <w:rPr>
          <w:sz w:val="19"/>
        </w:rPr>
      </w:pPr>
      <w:r>
        <w:rPr>
          <w:noProof/>
        </w:rPr>
        <w:pict w14:anchorId="43568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195.8pt;margin-top:299.35pt;width:11.25pt;height:11.25pt;z-index:25165824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6AC913D3">
          <v:shape id="image2.png" o:spid="_x0000_s1026" type="#_x0000_t75" style="position:absolute;margin-left:230.5pt;margin-top:299.45pt;width:11.25pt;height:11.25pt;z-index:251657216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p w14:paraId="36DD21DD" w14:textId="77777777" w:rsidR="00347206" w:rsidRDefault="00D3567E">
      <w:pPr>
        <w:pStyle w:val="Brdtekst"/>
        <w:spacing w:before="100"/>
        <w:ind w:left="268"/>
      </w:pPr>
      <w:r>
        <w:rPr>
          <w:color w:val="365F91"/>
        </w:rPr>
        <w:t>Synopsa til munnliga próvtøku í fólkaskúlanum</w:t>
      </w:r>
    </w:p>
    <w:p w14:paraId="5C68DD5F" w14:textId="77777777" w:rsidR="00347206" w:rsidRDefault="00347206">
      <w:pPr>
        <w:pStyle w:val="Brdtekst"/>
        <w:rPr>
          <w:sz w:val="20"/>
        </w:rPr>
      </w:pPr>
    </w:p>
    <w:p w14:paraId="3E01674B" w14:textId="77777777" w:rsidR="00347206" w:rsidRDefault="00347206">
      <w:pPr>
        <w:pStyle w:val="Brdtekst"/>
        <w:rPr>
          <w:sz w:val="20"/>
        </w:rPr>
      </w:pPr>
    </w:p>
    <w:p w14:paraId="56E483A8" w14:textId="77777777" w:rsidR="00347206" w:rsidRDefault="00347206">
      <w:pPr>
        <w:pStyle w:val="Brdtekst"/>
        <w:rPr>
          <w:sz w:val="20"/>
        </w:rPr>
      </w:pPr>
    </w:p>
    <w:p w14:paraId="179BB4F3" w14:textId="77777777" w:rsidR="00347206" w:rsidRDefault="00347206">
      <w:pPr>
        <w:pStyle w:val="Brdtekst"/>
        <w:rPr>
          <w:sz w:val="20"/>
        </w:rPr>
      </w:pPr>
    </w:p>
    <w:p w14:paraId="4B799DDA" w14:textId="77777777" w:rsidR="00347206" w:rsidRDefault="00347206">
      <w:pPr>
        <w:pStyle w:val="Brdtekst"/>
        <w:spacing w:before="10"/>
        <w:rPr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347206" w14:paraId="6A2B0768" w14:textId="77777777" w:rsidTr="00460ABF">
        <w:trPr>
          <w:trHeight w:val="580"/>
        </w:trPr>
        <w:tc>
          <w:tcPr>
            <w:tcW w:w="9244" w:type="dxa"/>
            <w:shd w:val="clear" w:color="auto" w:fill="auto"/>
          </w:tcPr>
          <w:p w14:paraId="13A98A4A" w14:textId="77777777" w:rsidR="00347206" w:rsidRPr="00460ABF" w:rsidRDefault="00D3567E" w:rsidP="00460ABF">
            <w:pPr>
              <w:pStyle w:val="TableParagraph"/>
              <w:spacing w:before="2"/>
              <w:rPr>
                <w:b/>
                <w:sz w:val="26"/>
              </w:rPr>
            </w:pPr>
            <w:r w:rsidRPr="00460ABF">
              <w:rPr>
                <w:b/>
                <w:sz w:val="26"/>
              </w:rPr>
              <w:t>Navn</w:t>
            </w:r>
          </w:p>
        </w:tc>
      </w:tr>
      <w:tr w:rsidR="00347206" w14:paraId="07F75FA4" w14:textId="77777777" w:rsidTr="00460ABF">
        <w:trPr>
          <w:trHeight w:val="880"/>
        </w:trPr>
        <w:tc>
          <w:tcPr>
            <w:tcW w:w="9244" w:type="dxa"/>
            <w:shd w:val="clear" w:color="auto" w:fill="auto"/>
          </w:tcPr>
          <w:p w14:paraId="0FC80869" w14:textId="77777777" w:rsidR="00347206" w:rsidRPr="00460ABF" w:rsidRDefault="00D3567E" w:rsidP="00460ABF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460ABF">
              <w:rPr>
                <w:b/>
                <w:sz w:val="26"/>
              </w:rPr>
              <w:t>Flokkur og skúli</w:t>
            </w:r>
          </w:p>
        </w:tc>
      </w:tr>
      <w:tr w:rsidR="00347206" w14:paraId="44C7FE04" w14:textId="77777777" w:rsidTr="00460ABF">
        <w:trPr>
          <w:trHeight w:val="880"/>
        </w:trPr>
        <w:tc>
          <w:tcPr>
            <w:tcW w:w="9244" w:type="dxa"/>
            <w:shd w:val="clear" w:color="auto" w:fill="auto"/>
          </w:tcPr>
          <w:p w14:paraId="381CD299" w14:textId="77777777" w:rsidR="00347206" w:rsidRPr="00460ABF" w:rsidRDefault="00D3567E" w:rsidP="00460ABF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460ABF">
              <w:rPr>
                <w:b/>
                <w:sz w:val="26"/>
              </w:rPr>
              <w:t>Lærugrein og lærugreinastig</w:t>
            </w:r>
          </w:p>
        </w:tc>
      </w:tr>
      <w:tr w:rsidR="00347206" w:rsidRPr="009C6BDA" w14:paraId="1573174E" w14:textId="77777777" w:rsidTr="00460ABF">
        <w:trPr>
          <w:trHeight w:val="1800"/>
        </w:trPr>
        <w:tc>
          <w:tcPr>
            <w:tcW w:w="9244" w:type="dxa"/>
            <w:shd w:val="clear" w:color="auto" w:fill="auto"/>
          </w:tcPr>
          <w:p w14:paraId="4768AF67" w14:textId="77777777" w:rsidR="00347206" w:rsidRPr="00460ABF" w:rsidRDefault="00D3567E">
            <w:pPr>
              <w:pStyle w:val="TableParagraph"/>
              <w:rPr>
                <w:rFonts w:ascii="Symbol" w:hAnsi="Symbol"/>
                <w:b/>
                <w:sz w:val="26"/>
              </w:rPr>
            </w:pPr>
            <w:r w:rsidRPr="00460ABF">
              <w:rPr>
                <w:b/>
                <w:sz w:val="26"/>
              </w:rPr>
              <w:t xml:space="preserve">Fyrireiking í bólki? ja </w:t>
            </w:r>
            <w:r w:rsidRPr="00460ABF">
              <w:rPr>
                <w:rFonts w:ascii="Symbol" w:hAnsi="Symbol"/>
                <w:b/>
                <w:sz w:val="26"/>
              </w:rPr>
              <w:t></w:t>
            </w:r>
            <w:r w:rsidRPr="00460ABF">
              <w:rPr>
                <w:b/>
                <w:sz w:val="26"/>
              </w:rPr>
              <w:t xml:space="preserve">  nei </w:t>
            </w:r>
            <w:r w:rsidRPr="00460ABF">
              <w:rPr>
                <w:rFonts w:ascii="Symbol" w:hAnsi="Symbol"/>
                <w:b/>
                <w:sz w:val="26"/>
              </w:rPr>
              <w:t></w:t>
            </w:r>
          </w:p>
          <w:p w14:paraId="161DD4FE" w14:textId="77777777" w:rsidR="00347206" w:rsidRPr="00460ABF" w:rsidRDefault="00347206" w:rsidP="00460ABF">
            <w:pPr>
              <w:pStyle w:val="TableParagraph"/>
              <w:spacing w:before="7"/>
              <w:ind w:left="0"/>
              <w:rPr>
                <w:rFonts w:ascii="Cambria"/>
                <w:b/>
                <w:sz w:val="25"/>
              </w:rPr>
            </w:pPr>
          </w:p>
          <w:p w14:paraId="1180CE32" w14:textId="77777777" w:rsidR="00347206" w:rsidRPr="00460ABF" w:rsidRDefault="00D3567E">
            <w:pPr>
              <w:pStyle w:val="TableParagraph"/>
              <w:rPr>
                <w:b/>
                <w:sz w:val="26"/>
                <w:lang w:val="da-DK"/>
              </w:rPr>
            </w:pPr>
            <w:r w:rsidRPr="00460ABF">
              <w:rPr>
                <w:b/>
                <w:sz w:val="26"/>
                <w:lang w:val="da-DK"/>
              </w:rPr>
              <w:t>Um ja, hvørji eru hini í bólkinum?</w:t>
            </w:r>
          </w:p>
        </w:tc>
      </w:tr>
      <w:tr w:rsidR="00347206" w:rsidRPr="009C6BDA" w14:paraId="08A213CB" w14:textId="77777777" w:rsidTr="00460ABF">
        <w:trPr>
          <w:trHeight w:val="1480"/>
        </w:trPr>
        <w:tc>
          <w:tcPr>
            <w:tcW w:w="9244" w:type="dxa"/>
            <w:shd w:val="clear" w:color="auto" w:fill="auto"/>
          </w:tcPr>
          <w:p w14:paraId="7B51B538" w14:textId="77777777" w:rsidR="00347206" w:rsidRPr="00460ABF" w:rsidRDefault="00D3567E" w:rsidP="00460ABF">
            <w:pPr>
              <w:pStyle w:val="TableParagraph"/>
              <w:spacing w:line="298" w:lineRule="exact"/>
              <w:rPr>
                <w:i/>
                <w:sz w:val="20"/>
                <w:lang w:val="da-DK"/>
              </w:rPr>
            </w:pPr>
            <w:r w:rsidRPr="00460ABF">
              <w:rPr>
                <w:b/>
                <w:sz w:val="26"/>
                <w:lang w:val="da-DK"/>
              </w:rPr>
              <w:t xml:space="preserve">Hugdýpingarøki </w:t>
            </w:r>
            <w:r w:rsidRPr="00460ABF">
              <w:rPr>
                <w:i/>
                <w:sz w:val="20"/>
                <w:lang w:val="da-DK"/>
              </w:rPr>
              <w:t>- hugdýpingarøkið, sum næmingurin hevur fingið við lutakasti.</w:t>
            </w:r>
          </w:p>
        </w:tc>
      </w:tr>
      <w:tr w:rsidR="00347206" w:rsidRPr="009C6BDA" w14:paraId="7B261B72" w14:textId="77777777" w:rsidTr="00460ABF">
        <w:trPr>
          <w:trHeight w:val="4700"/>
        </w:trPr>
        <w:tc>
          <w:tcPr>
            <w:tcW w:w="9244" w:type="dxa"/>
            <w:shd w:val="clear" w:color="auto" w:fill="auto"/>
          </w:tcPr>
          <w:p w14:paraId="4CDDFC55" w14:textId="77777777" w:rsidR="00347206" w:rsidRPr="009C6BDA" w:rsidRDefault="00D3567E" w:rsidP="00460ABF">
            <w:pPr>
              <w:pStyle w:val="TableParagraph"/>
              <w:spacing w:before="5" w:line="235" w:lineRule="auto"/>
              <w:ind w:right="316"/>
              <w:rPr>
                <w:i/>
                <w:sz w:val="20"/>
                <w:lang w:val="da-DK"/>
              </w:rPr>
            </w:pPr>
            <w:r w:rsidRPr="009C6BDA">
              <w:rPr>
                <w:b/>
                <w:sz w:val="26"/>
                <w:lang w:val="da-DK"/>
              </w:rPr>
              <w:t xml:space="preserve">Tilfar í hugdýpingarøkinum </w:t>
            </w:r>
            <w:r w:rsidRPr="009C6BDA">
              <w:rPr>
                <w:i/>
                <w:sz w:val="20"/>
                <w:lang w:val="da-DK"/>
              </w:rPr>
              <w:t>- lisnir tekstir, myndir, filmar o.a., sum flokkurin hevur gjørt av, skulu vera við í hesum hugdýpingarøki.</w:t>
            </w:r>
          </w:p>
        </w:tc>
      </w:tr>
    </w:tbl>
    <w:p w14:paraId="7FF7EB0E" w14:textId="77777777" w:rsidR="00347206" w:rsidRPr="009C6BDA" w:rsidRDefault="00347206">
      <w:pPr>
        <w:pStyle w:val="Brdtekst"/>
        <w:rPr>
          <w:sz w:val="20"/>
          <w:lang w:val="da-DK"/>
        </w:rPr>
      </w:pPr>
    </w:p>
    <w:p w14:paraId="65018805" w14:textId="77777777" w:rsidR="00347206" w:rsidRPr="009C6BDA" w:rsidRDefault="00347206">
      <w:pPr>
        <w:pStyle w:val="Brdtekst"/>
        <w:spacing w:before="11"/>
        <w:rPr>
          <w:sz w:val="18"/>
          <w:lang w:val="da-DK"/>
        </w:rPr>
      </w:pPr>
    </w:p>
    <w:p w14:paraId="06CC257A" w14:textId="77777777" w:rsidR="00347206" w:rsidRPr="00F069E0" w:rsidRDefault="00D3567E">
      <w:pPr>
        <w:tabs>
          <w:tab w:val="left" w:pos="9253"/>
        </w:tabs>
        <w:spacing w:before="88"/>
        <w:ind w:left="220"/>
        <w:rPr>
          <w:b/>
          <w:sz w:val="26"/>
          <w:lang w:val="da-DK"/>
        </w:rPr>
      </w:pPr>
      <w:r w:rsidRPr="00F069E0">
        <w:rPr>
          <w:b/>
          <w:sz w:val="26"/>
          <w:lang w:val="da-DK"/>
        </w:rPr>
        <w:t>Synopsan er latin inn</w:t>
      </w:r>
      <w:r w:rsidRPr="00F069E0">
        <w:rPr>
          <w:b/>
          <w:spacing w:val="-5"/>
          <w:sz w:val="26"/>
          <w:lang w:val="da-DK"/>
        </w:rPr>
        <w:t xml:space="preserve"> </w:t>
      </w:r>
      <w:r w:rsidRPr="00F069E0">
        <w:rPr>
          <w:b/>
          <w:sz w:val="26"/>
          <w:lang w:val="da-DK"/>
        </w:rPr>
        <w:t>tann</w:t>
      </w:r>
      <w:r w:rsidRPr="00F069E0">
        <w:rPr>
          <w:b/>
          <w:spacing w:val="-1"/>
          <w:sz w:val="26"/>
          <w:lang w:val="da-DK"/>
        </w:rPr>
        <w:t xml:space="preserve"> </w:t>
      </w:r>
      <w:r w:rsidRPr="00F069E0">
        <w:rPr>
          <w:b/>
          <w:w w:val="99"/>
          <w:sz w:val="26"/>
          <w:u w:val="single"/>
          <w:lang w:val="da-DK"/>
        </w:rPr>
        <w:t xml:space="preserve"> </w:t>
      </w:r>
      <w:r w:rsidRPr="00F069E0">
        <w:rPr>
          <w:b/>
          <w:sz w:val="26"/>
          <w:u w:val="single"/>
          <w:lang w:val="da-DK"/>
        </w:rPr>
        <w:tab/>
      </w:r>
    </w:p>
    <w:p w14:paraId="60C65DE2" w14:textId="77777777" w:rsidR="00347206" w:rsidRPr="00F069E0" w:rsidRDefault="00347206">
      <w:pPr>
        <w:rPr>
          <w:sz w:val="26"/>
          <w:lang w:val="da-DK"/>
        </w:rPr>
        <w:sectPr w:rsidR="00347206" w:rsidRPr="00F069E0">
          <w:footerReference w:type="default" r:id="rId8"/>
          <w:type w:val="continuous"/>
          <w:pgSz w:w="11910" w:h="16840"/>
          <w:pgMar w:top="1580" w:right="1220" w:bottom="1140" w:left="1220" w:header="708" w:footer="942" w:gutter="0"/>
          <w:pgNumType w:start="1"/>
          <w:cols w:space="708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347206" w:rsidRPr="009C6BDA" w14:paraId="7091CAD0" w14:textId="77777777" w:rsidTr="00460ABF">
        <w:trPr>
          <w:trHeight w:val="6740"/>
        </w:trPr>
        <w:tc>
          <w:tcPr>
            <w:tcW w:w="9244" w:type="dxa"/>
            <w:shd w:val="clear" w:color="auto" w:fill="auto"/>
          </w:tcPr>
          <w:p w14:paraId="350C9985" w14:textId="77777777" w:rsidR="00347206" w:rsidRPr="00460ABF" w:rsidRDefault="00D3567E" w:rsidP="00460ABF">
            <w:pPr>
              <w:pStyle w:val="TableParagraph"/>
              <w:spacing w:line="296" w:lineRule="exact"/>
              <w:rPr>
                <w:b/>
                <w:sz w:val="26"/>
                <w:lang w:val="da-DK"/>
              </w:rPr>
            </w:pPr>
            <w:r w:rsidRPr="00460ABF">
              <w:rPr>
                <w:b/>
                <w:sz w:val="26"/>
                <w:lang w:val="da-DK"/>
              </w:rPr>
              <w:lastRenderedPageBreak/>
              <w:t>Frágreiðing um próvtøkuuppleggið og grundgeving fyri val av hesum</w:t>
            </w:r>
          </w:p>
          <w:p w14:paraId="3F6A44CE" w14:textId="77777777" w:rsidR="00347206" w:rsidRPr="00460ABF" w:rsidRDefault="00D3567E" w:rsidP="00460ABF">
            <w:pPr>
              <w:pStyle w:val="TableParagraph"/>
              <w:ind w:left="63" w:right="316" w:firstLine="39"/>
              <w:rPr>
                <w:i/>
                <w:sz w:val="20"/>
                <w:lang w:val="da-DK"/>
              </w:rPr>
            </w:pPr>
            <w:r w:rsidRPr="00460ABF">
              <w:rPr>
                <w:i/>
                <w:sz w:val="20"/>
                <w:lang w:val="da-DK"/>
              </w:rPr>
              <w:t>- stutt frágreiðing um próvtøkuuppleggið og hví tað er valt (próvtøkuupplegg kann vera tekstur, filmur, mynd  ella annað, sum næmingurin sjálvur hevur valt at</w:t>
            </w:r>
            <w:r w:rsidRPr="00460ABF">
              <w:rPr>
                <w:i/>
                <w:spacing w:val="-27"/>
                <w:sz w:val="20"/>
                <w:lang w:val="da-DK"/>
              </w:rPr>
              <w:t xml:space="preserve"> </w:t>
            </w:r>
            <w:r w:rsidRPr="00460ABF">
              <w:rPr>
                <w:i/>
                <w:sz w:val="20"/>
                <w:lang w:val="da-DK"/>
              </w:rPr>
              <w:t>viðgera).</w:t>
            </w:r>
          </w:p>
          <w:p w14:paraId="6ADE633B" w14:textId="77777777" w:rsidR="00347206" w:rsidRPr="009C6BDA" w:rsidRDefault="00347206" w:rsidP="00460ABF">
            <w:pPr>
              <w:pStyle w:val="TableParagraph"/>
              <w:spacing w:before="50"/>
              <w:ind w:left="63" w:right="41"/>
              <w:rPr>
                <w:rFonts w:ascii="Arial"/>
                <w:sz w:val="18"/>
                <w:lang w:val="da-DK"/>
              </w:rPr>
            </w:pPr>
          </w:p>
        </w:tc>
      </w:tr>
      <w:tr w:rsidR="00347206" w:rsidRPr="009C6BDA" w14:paraId="3E9D8250" w14:textId="77777777" w:rsidTr="00460ABF">
        <w:trPr>
          <w:trHeight w:val="7100"/>
        </w:trPr>
        <w:tc>
          <w:tcPr>
            <w:tcW w:w="9244" w:type="dxa"/>
            <w:shd w:val="clear" w:color="auto" w:fill="auto"/>
          </w:tcPr>
          <w:p w14:paraId="241E7B7C" w14:textId="77777777" w:rsidR="00347206" w:rsidRPr="009C6BDA" w:rsidRDefault="00D3567E" w:rsidP="00460ABF">
            <w:pPr>
              <w:pStyle w:val="TableParagraph"/>
              <w:spacing w:before="5" w:line="235" w:lineRule="auto"/>
              <w:ind w:left="63" w:right="316" w:firstLine="39"/>
              <w:rPr>
                <w:i/>
                <w:sz w:val="20"/>
                <w:lang w:val="da-DK"/>
              </w:rPr>
            </w:pPr>
            <w:r w:rsidRPr="009C6BDA">
              <w:rPr>
                <w:b/>
                <w:sz w:val="26"/>
                <w:lang w:val="da-DK"/>
              </w:rPr>
              <w:t xml:space="preserve">Framløguætlan fyri munnligu próvtøkuna </w:t>
            </w:r>
            <w:r w:rsidRPr="009C6BDA">
              <w:rPr>
                <w:i/>
                <w:sz w:val="20"/>
                <w:lang w:val="da-DK"/>
              </w:rPr>
              <w:t>- skrá ella ætlan, sum vísir, hvussu næmingurin heldur, at próvtøkan skal fara fram.</w:t>
            </w:r>
          </w:p>
          <w:p w14:paraId="40740981" w14:textId="77777777" w:rsidR="00347206" w:rsidRPr="009C6BDA" w:rsidRDefault="00347206" w:rsidP="00460ABF">
            <w:pPr>
              <w:pStyle w:val="TableParagraph"/>
              <w:spacing w:before="48"/>
              <w:ind w:left="63" w:right="41"/>
              <w:rPr>
                <w:rFonts w:ascii="Arial"/>
                <w:sz w:val="18"/>
                <w:lang w:val="da-DK"/>
              </w:rPr>
            </w:pPr>
          </w:p>
        </w:tc>
      </w:tr>
    </w:tbl>
    <w:p w14:paraId="3B9D18D8" w14:textId="77777777" w:rsidR="00347206" w:rsidRPr="009C6BDA" w:rsidRDefault="00347206">
      <w:pPr>
        <w:rPr>
          <w:rFonts w:ascii="Arial"/>
          <w:sz w:val="18"/>
          <w:lang w:val="da-DK"/>
        </w:rPr>
        <w:sectPr w:rsidR="00347206" w:rsidRPr="009C6BDA">
          <w:pgSz w:w="11910" w:h="16840"/>
          <w:pgMar w:top="1420" w:right="1220" w:bottom="1140" w:left="1220" w:header="0" w:footer="942" w:gutter="0"/>
          <w:cols w:space="708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6"/>
      </w:tblGrid>
      <w:tr w:rsidR="00347206" w:rsidRPr="009C6BDA" w14:paraId="55713D9B" w14:textId="77777777" w:rsidTr="00460ABF">
        <w:trPr>
          <w:trHeight w:val="4700"/>
        </w:trPr>
        <w:tc>
          <w:tcPr>
            <w:tcW w:w="92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CEF1E2" w14:textId="77777777" w:rsidR="00347206" w:rsidRPr="009C6BDA" w:rsidRDefault="00D3567E" w:rsidP="00460ABF">
            <w:pPr>
              <w:pStyle w:val="TableParagraph"/>
              <w:spacing w:before="6" w:line="235" w:lineRule="auto"/>
              <w:ind w:left="68" w:right="33" w:firstLine="32"/>
              <w:rPr>
                <w:i/>
                <w:sz w:val="20"/>
                <w:lang w:val="da-DK"/>
              </w:rPr>
            </w:pPr>
            <w:r w:rsidRPr="009C6BDA">
              <w:rPr>
                <w:b/>
                <w:sz w:val="26"/>
                <w:lang w:val="da-DK"/>
              </w:rPr>
              <w:lastRenderedPageBreak/>
              <w:t xml:space="preserve">Lýsing av greining og tulkingarøkjum </w:t>
            </w:r>
            <w:r w:rsidRPr="009C6BDA">
              <w:rPr>
                <w:i/>
                <w:sz w:val="20"/>
                <w:lang w:val="da-DK"/>
              </w:rPr>
              <w:t>- næmingurin greiðir frá greining og tulkingarøkjum, sum hann hevur valt at viðgera.</w:t>
            </w:r>
          </w:p>
          <w:p w14:paraId="622235A7" w14:textId="77777777" w:rsidR="00347206" w:rsidRPr="009C6BDA" w:rsidRDefault="00347206" w:rsidP="00460ABF">
            <w:pPr>
              <w:pStyle w:val="TableParagraph"/>
              <w:spacing w:before="47"/>
              <w:ind w:left="68" w:right="33"/>
              <w:rPr>
                <w:rFonts w:ascii="Arial"/>
                <w:sz w:val="18"/>
                <w:lang w:val="da-DK"/>
              </w:rPr>
            </w:pPr>
          </w:p>
        </w:tc>
      </w:tr>
      <w:tr w:rsidR="00347206" w:rsidRPr="009C6BDA" w14:paraId="6E7FEF2D" w14:textId="77777777" w:rsidTr="00460ABF">
        <w:trPr>
          <w:trHeight w:val="4100"/>
        </w:trPr>
        <w:tc>
          <w:tcPr>
            <w:tcW w:w="92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553966" w14:textId="77777777" w:rsidR="00347206" w:rsidRPr="009C6BDA" w:rsidRDefault="00D3567E" w:rsidP="00460ABF">
            <w:pPr>
              <w:pStyle w:val="TableParagraph"/>
              <w:spacing w:before="8" w:line="232" w:lineRule="auto"/>
              <w:ind w:left="60" w:right="33" w:firstLine="39"/>
              <w:rPr>
                <w:i/>
                <w:sz w:val="20"/>
                <w:lang w:val="da-DK"/>
              </w:rPr>
            </w:pPr>
            <w:r w:rsidRPr="009C6BDA">
              <w:rPr>
                <w:b/>
                <w:sz w:val="26"/>
                <w:lang w:val="da-DK"/>
              </w:rPr>
              <w:t xml:space="preserve">Lýsing av frásjónarøkjum (perspektivering) </w:t>
            </w:r>
            <w:r w:rsidRPr="009C6BDA">
              <w:rPr>
                <w:i/>
                <w:sz w:val="20"/>
                <w:lang w:val="da-DK"/>
              </w:rPr>
              <w:t>- næmingurin vísir her á tekstir, filmar og/ella annað tilfar úr hugdýpingarøkinum, sum próvtøkuuppleggið kann setast í samband við</w:t>
            </w:r>
          </w:p>
          <w:p w14:paraId="0487F2F2" w14:textId="77777777" w:rsidR="00347206" w:rsidRPr="009C6BDA" w:rsidRDefault="00347206" w:rsidP="00460ABF">
            <w:pPr>
              <w:pStyle w:val="TableParagraph"/>
              <w:spacing w:before="46"/>
              <w:ind w:left="60" w:right="41"/>
              <w:rPr>
                <w:rFonts w:ascii="Arial"/>
                <w:sz w:val="18"/>
                <w:lang w:val="da-DK"/>
              </w:rPr>
            </w:pPr>
          </w:p>
        </w:tc>
      </w:tr>
      <w:tr w:rsidR="00347206" w:rsidRPr="009C6BDA" w14:paraId="61DB746B" w14:textId="77777777" w:rsidTr="00460ABF">
        <w:trPr>
          <w:trHeight w:val="1420"/>
        </w:trPr>
        <w:tc>
          <w:tcPr>
            <w:tcW w:w="92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077334" w14:textId="77777777" w:rsidR="00347206" w:rsidRPr="00460ABF" w:rsidRDefault="00D3567E" w:rsidP="00460ABF">
            <w:pPr>
              <w:pStyle w:val="TableParagraph"/>
              <w:spacing w:before="5" w:line="235" w:lineRule="auto"/>
              <w:ind w:left="100" w:right="137"/>
              <w:rPr>
                <w:i/>
                <w:sz w:val="20"/>
                <w:lang w:val="da-DK"/>
              </w:rPr>
            </w:pPr>
            <w:r w:rsidRPr="009C6BDA">
              <w:rPr>
                <w:b/>
                <w:sz w:val="26"/>
                <w:lang w:val="da-DK"/>
              </w:rPr>
              <w:t xml:space="preserve">Áseting av stykki til upplestur </w:t>
            </w:r>
            <w:r w:rsidRPr="009C6BDA">
              <w:rPr>
                <w:i/>
                <w:sz w:val="20"/>
                <w:lang w:val="da-DK"/>
              </w:rPr>
              <w:t xml:space="preserve">- næmingurin vísir á, hvat hann vil lesa hart úr próvtøkuupplegginum (uml. 1/3 normalsíða). </w:t>
            </w:r>
            <w:r w:rsidRPr="00460ABF">
              <w:rPr>
                <w:i/>
                <w:sz w:val="20"/>
                <w:lang w:val="da-DK"/>
              </w:rPr>
              <w:t>Er próvtøkuuppleggið ikki ein tekstur, velur lærarin stykki til upplestur.</w:t>
            </w:r>
          </w:p>
        </w:tc>
      </w:tr>
      <w:tr w:rsidR="00347206" w:rsidRPr="009C6BDA" w14:paraId="2A91162C" w14:textId="77777777" w:rsidTr="00460ABF">
        <w:trPr>
          <w:trHeight w:val="3340"/>
        </w:trPr>
        <w:tc>
          <w:tcPr>
            <w:tcW w:w="92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0E279B" w14:textId="77777777" w:rsidR="00347206" w:rsidRPr="00460ABF" w:rsidRDefault="00D3567E" w:rsidP="00460ABF">
            <w:pPr>
              <w:pStyle w:val="TableParagraph"/>
              <w:spacing w:line="291" w:lineRule="exact"/>
              <w:ind w:left="100"/>
              <w:rPr>
                <w:i/>
                <w:sz w:val="20"/>
                <w:lang w:val="da-DK"/>
              </w:rPr>
            </w:pPr>
            <w:r w:rsidRPr="00460ABF">
              <w:rPr>
                <w:b/>
                <w:sz w:val="26"/>
                <w:lang w:val="da-DK"/>
              </w:rPr>
              <w:t xml:space="preserve">Keldulisti </w:t>
            </w:r>
            <w:r w:rsidRPr="00460ABF">
              <w:rPr>
                <w:i/>
                <w:sz w:val="20"/>
                <w:lang w:val="da-DK"/>
              </w:rPr>
              <w:t>– keldur (bøkur, netsíður o.a.), sum hava verið nýttar í fyrireikingini av synopsuni.</w:t>
            </w:r>
          </w:p>
          <w:p w14:paraId="29122D04" w14:textId="77777777" w:rsidR="00F069E0" w:rsidRPr="00460ABF" w:rsidRDefault="00F069E0" w:rsidP="00460ABF">
            <w:pPr>
              <w:pStyle w:val="TableParagraph"/>
              <w:spacing w:line="291" w:lineRule="exact"/>
              <w:ind w:left="100"/>
              <w:rPr>
                <w:i/>
                <w:sz w:val="20"/>
                <w:lang w:val="da-DK"/>
              </w:rPr>
            </w:pPr>
          </w:p>
          <w:p w14:paraId="3955C5C6" w14:textId="77777777" w:rsidR="00F069E0" w:rsidRPr="009C6BDA" w:rsidRDefault="00F069E0" w:rsidP="00460ABF">
            <w:pPr>
              <w:pStyle w:val="TableParagraph"/>
              <w:spacing w:line="291" w:lineRule="exact"/>
              <w:ind w:left="100"/>
              <w:rPr>
                <w:i/>
                <w:sz w:val="20"/>
                <w:lang w:val="da-DK"/>
              </w:rPr>
            </w:pPr>
          </w:p>
        </w:tc>
      </w:tr>
    </w:tbl>
    <w:p w14:paraId="1B0C5647" w14:textId="77777777" w:rsidR="00D3567E" w:rsidRPr="009C6BDA" w:rsidRDefault="00D3567E">
      <w:pPr>
        <w:rPr>
          <w:lang w:val="da-DK"/>
        </w:rPr>
      </w:pPr>
    </w:p>
    <w:sectPr w:rsidR="00D3567E" w:rsidRPr="009C6BDA">
      <w:pgSz w:w="11910" w:h="16840"/>
      <w:pgMar w:top="1420" w:right="1200" w:bottom="1140" w:left="122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7024" w14:textId="77777777" w:rsidR="002017AA" w:rsidRDefault="002017AA">
      <w:r>
        <w:separator/>
      </w:r>
    </w:p>
  </w:endnote>
  <w:endnote w:type="continuationSeparator" w:id="0">
    <w:p w14:paraId="71861B7E" w14:textId="77777777" w:rsidR="002017AA" w:rsidRDefault="0020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5165" w14:textId="77777777" w:rsidR="00347206" w:rsidRDefault="00460ABF">
    <w:pPr>
      <w:pStyle w:val="Brdtekst"/>
      <w:spacing w:line="14" w:lineRule="auto"/>
      <w:rPr>
        <w:b w:val="0"/>
        <w:sz w:val="20"/>
      </w:rPr>
    </w:pPr>
    <w:r>
      <w:rPr>
        <w:noProof/>
      </w:rPr>
      <w:pict w14:anchorId="3F32E9E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5.9pt;margin-top:780.8pt;width:9.6pt;height:13.05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" filled="f" stroked="f">
          <v:textbox inset="0,0,0,0">
            <w:txbxContent>
              <w:p w14:paraId="1F43E191" w14:textId="77777777" w:rsidR="00347206" w:rsidRDefault="00D3567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0AB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6D94" w14:textId="77777777" w:rsidR="002017AA" w:rsidRDefault="002017AA">
      <w:r>
        <w:separator/>
      </w:r>
    </w:p>
  </w:footnote>
  <w:footnote w:type="continuationSeparator" w:id="0">
    <w:p w14:paraId="2E34301F" w14:textId="77777777" w:rsidR="002017AA" w:rsidRDefault="0020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206"/>
    <w:rsid w:val="002017AA"/>
    <w:rsid w:val="00347206"/>
    <w:rsid w:val="00460ABF"/>
    <w:rsid w:val="00640E2B"/>
    <w:rsid w:val="009C6BDA"/>
    <w:rsid w:val="00A55EE3"/>
    <w:rsid w:val="00D3567E"/>
    <w:rsid w:val="00F0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3693993"/>
  <w15:docId w15:val="{D51C2FDD-818F-462E-9605-6932BF1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mbria" w:eastAsia="Cambria" w:hAnsi="Cambria" w:cs="Cambria"/>
      <w:b/>
      <w:bCs/>
      <w:sz w:val="41"/>
      <w:szCs w:val="41"/>
    </w:rPr>
  </w:style>
  <w:style w:type="paragraph" w:styleId="Farvetliste-fremhvningsfarve1">
    <w:name w:val="Colorful List Accent 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Debess</dc:creator>
  <cp:keywords/>
  <cp:lastModifiedBy>Lív Ingolfsdóttir Magnussen</cp:lastModifiedBy>
  <cp:revision>2</cp:revision>
  <dcterms:created xsi:type="dcterms:W3CDTF">2021-05-25T07:50:00Z</dcterms:created>
  <dcterms:modified xsi:type="dcterms:W3CDTF">2021-05-25T07:50:00Z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2017-04-21T00:00:00Z</vt:filetime>
  </property>
</Properties>
</file>